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1BF8" w14:textId="77777777" w:rsidR="00EA3341" w:rsidRDefault="00EA3341">
      <w:pPr>
        <w:rPr>
          <w:rFonts w:cstheme="minorHAnsi"/>
          <w:b/>
        </w:rPr>
      </w:pPr>
      <w:r w:rsidRPr="00EA3341">
        <w:rPr>
          <w:rFonts w:cstheme="minorHAnsi"/>
          <w:b/>
        </w:rPr>
        <w:t>INTRODUÇÃO A ECONOMIA NA ENGENHARIA</w:t>
      </w:r>
    </w:p>
    <w:p w14:paraId="198A9BCA" w14:textId="77777777" w:rsidR="00901C02" w:rsidRDefault="00901C02" w:rsidP="00901C02">
      <w:pPr>
        <w:rPr>
          <w:rFonts w:cstheme="minorHAnsi"/>
        </w:rPr>
      </w:pPr>
      <w:r w:rsidRPr="00901C02">
        <w:rPr>
          <w:rFonts w:cstheme="minorHAnsi"/>
        </w:rPr>
        <w:t>Fonte:</w:t>
      </w:r>
    </w:p>
    <w:p w14:paraId="75874BAD" w14:textId="77777777" w:rsidR="00901C02" w:rsidRDefault="00901C02" w:rsidP="00901C02">
      <w:pPr>
        <w:rPr>
          <w:rFonts w:cstheme="minorHAnsi"/>
        </w:rPr>
      </w:pPr>
      <w:r w:rsidRPr="00901C02">
        <w:rPr>
          <w:rFonts w:cstheme="minorHAnsi"/>
        </w:rPr>
        <w:t>SOUZA, Alceu; CLEMENTE, Ademir. Decisões financeiras e análise de investimentos: fundamentos, técnicas e aplicações. 6 ed. São Paulo: Atlas, 2012.</w:t>
      </w:r>
    </w:p>
    <w:p w14:paraId="626F2DFF" w14:textId="77777777" w:rsidR="00901C02" w:rsidRPr="00EA3341" w:rsidRDefault="00901C02" w:rsidP="00901C02">
      <w:pPr>
        <w:rPr>
          <w:rFonts w:cstheme="minorHAnsi"/>
        </w:rPr>
      </w:pPr>
    </w:p>
    <w:p w14:paraId="5E447D1B" w14:textId="77777777" w:rsidR="00EA3341" w:rsidRDefault="00EA3341">
      <w:pPr>
        <w:rPr>
          <w:rFonts w:cstheme="minorHAnsi"/>
        </w:rPr>
      </w:pPr>
      <w:r>
        <w:rPr>
          <w:rFonts w:cstheme="minorHAnsi"/>
        </w:rPr>
        <w:t xml:space="preserve">Utilização do Microsoft Office Excel </w:t>
      </w:r>
      <w:r w:rsidR="00E70FC6">
        <w:rPr>
          <w:rFonts w:cstheme="minorHAnsi"/>
        </w:rPr>
        <w:t>- continuação</w:t>
      </w:r>
    </w:p>
    <w:p w14:paraId="04805D1D" w14:textId="77777777" w:rsidR="00C91FB9" w:rsidRPr="00C37FD9" w:rsidRDefault="00C91FB9" w:rsidP="00C91FB9">
      <w:pPr>
        <w:pStyle w:val="PargrafodaLista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Taxa Interna de Retorno (TIR)</w:t>
      </w:r>
    </w:p>
    <w:p w14:paraId="4B80CF04" w14:textId="77777777" w:rsidR="00C91FB9" w:rsidRDefault="00C91FB9" w:rsidP="00C91FB9">
      <w:pPr>
        <w:rPr>
          <w:rFonts w:cstheme="minorHAnsi"/>
        </w:rPr>
      </w:pPr>
      <w:r>
        <w:rPr>
          <w:rFonts w:cstheme="minorHAnsi"/>
        </w:rPr>
        <w:t>A Taxa Interna de Retorno (TIR), por definição, é a taxa que retorna o Valor Presente Líquido (VPL) de um fluxo de caixa igual a zero. Assim, considerando-se o projeto anterior:</w:t>
      </w:r>
    </w:p>
    <w:p w14:paraId="2792B01C" w14:textId="77777777" w:rsidR="00C91FB9" w:rsidRDefault="00C91FB9" w:rsidP="009E07CF">
      <w:pPr>
        <w:jc w:val="center"/>
        <w:rPr>
          <w:rFonts w:cstheme="minorHAnsi"/>
        </w:rPr>
      </w:pPr>
      <m:oMath>
        <m:r>
          <w:rPr>
            <w:rFonts w:ascii="Cambria Math" w:hAnsi="Cambria Math" w:cstheme="minorHAnsi"/>
          </w:rPr>
          <m:t>0=-380+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1</m:t>
                </m:r>
              </m:sup>
            </m:sSup>
          </m:den>
        </m:f>
      </m:oMath>
      <w:r>
        <w:rPr>
          <w:rFonts w:cstheme="minorHAnsi"/>
        </w:rPr>
        <w:t>+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50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3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90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4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110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5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130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6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130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7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130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8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130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(1+i)</m:t>
                </m:r>
              </m:e>
              <m:sup>
                <m:r>
                  <w:rPr>
                    <w:rFonts w:ascii="Cambria Math" w:hAnsi="Cambria Math" w:cstheme="minorHAnsi"/>
                  </w:rPr>
                  <m:t>9</m:t>
                </m:r>
              </m:sup>
            </m:sSup>
          </m:den>
        </m:f>
      </m:oMath>
    </w:p>
    <w:p w14:paraId="417AEBFA" w14:textId="77777777" w:rsidR="00C91FB9" w:rsidRDefault="009E07CF" w:rsidP="00C91FB9">
      <w:pPr>
        <w:rPr>
          <w:rFonts w:cstheme="minorHAnsi"/>
        </w:rPr>
      </w:pPr>
      <w:r>
        <w:rPr>
          <w:rFonts w:cstheme="minorHAnsi"/>
        </w:rPr>
        <w:t>Este cálculo pode ser feito manualmente, mas pode se tornar trabalhoso. A sugestão é usar o Excel (função TIR).</w:t>
      </w:r>
    </w:p>
    <w:p w14:paraId="23BBAC71" w14:textId="77777777" w:rsidR="009E07CF" w:rsidRDefault="00081FF5" w:rsidP="00081FF5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0FAE501" wp14:editId="6430523E">
            <wp:extent cx="4629150" cy="49339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1DA0" w14:textId="77777777" w:rsidR="00C91FB9" w:rsidRDefault="00C91FB9" w:rsidP="002E164A">
      <w:pPr>
        <w:rPr>
          <w:rFonts w:cstheme="minorHAnsi"/>
        </w:rPr>
      </w:pPr>
    </w:p>
    <w:p w14:paraId="4B247444" w14:textId="77777777" w:rsidR="00081FF5" w:rsidRDefault="00081FF5" w:rsidP="00081FF5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CD01088" wp14:editId="4516FC7C">
            <wp:extent cx="4124325" cy="3571875"/>
            <wp:effectExtent l="0" t="0" r="9525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D3955" w14:textId="77777777" w:rsidR="00081FF5" w:rsidRDefault="00081FF5" w:rsidP="00081FF5">
      <w:pPr>
        <w:jc w:val="center"/>
        <w:rPr>
          <w:rFonts w:cstheme="minorHAnsi"/>
        </w:rPr>
      </w:pPr>
    </w:p>
    <w:p w14:paraId="54DD498B" w14:textId="77777777" w:rsidR="00081FF5" w:rsidRDefault="00081FF5" w:rsidP="00081FF5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DE0FB0A" wp14:editId="5B0B67E0">
            <wp:extent cx="6638925" cy="3600450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4744" w14:textId="77777777" w:rsidR="00081FF5" w:rsidRDefault="00F1748F" w:rsidP="00F1748F">
      <w:pPr>
        <w:jc w:val="both"/>
        <w:rPr>
          <w:rFonts w:cstheme="minorHAnsi"/>
        </w:rPr>
      </w:pPr>
      <w:r>
        <w:rPr>
          <w:rFonts w:cstheme="minorHAnsi"/>
        </w:rPr>
        <w:t>Assim, a TIR é igual a 16,89%.</w:t>
      </w:r>
    </w:p>
    <w:p w14:paraId="70C9D983" w14:textId="77777777" w:rsidR="00F1748F" w:rsidRDefault="00F1748F" w:rsidP="00F1748F">
      <w:pPr>
        <w:jc w:val="both"/>
        <w:rPr>
          <w:rFonts w:cstheme="minorHAnsi"/>
        </w:rPr>
      </w:pPr>
      <w:r>
        <w:rPr>
          <w:rFonts w:cstheme="minorHAnsi"/>
        </w:rPr>
        <w:t xml:space="preserve">A TIR tanto pode ser usada para analisar a dimensão </w:t>
      </w:r>
      <w:r w:rsidRPr="00F1748F">
        <w:rPr>
          <w:rFonts w:cstheme="minorHAnsi"/>
          <w:b/>
        </w:rPr>
        <w:t>retorno</w:t>
      </w:r>
      <w:r>
        <w:rPr>
          <w:rFonts w:cstheme="minorHAnsi"/>
        </w:rPr>
        <w:t xml:space="preserve"> do investimento como também para analisar a dimensão </w:t>
      </w:r>
      <w:r w:rsidRPr="00F1748F">
        <w:rPr>
          <w:rFonts w:cstheme="minorHAnsi"/>
          <w:b/>
        </w:rPr>
        <w:t>risco</w:t>
      </w:r>
      <w:r>
        <w:rPr>
          <w:rFonts w:cstheme="minorHAnsi"/>
        </w:rPr>
        <w:t>.</w:t>
      </w:r>
    </w:p>
    <w:p w14:paraId="0AAA6051" w14:textId="77777777" w:rsidR="00F1748F" w:rsidRDefault="004D0E04" w:rsidP="00F1748F">
      <w:pPr>
        <w:jc w:val="both"/>
        <w:rPr>
          <w:rFonts w:cstheme="minorHAnsi"/>
        </w:rPr>
      </w:pPr>
      <w:r>
        <w:rPr>
          <w:rFonts w:cstheme="minorHAnsi"/>
        </w:rPr>
        <w:t>Na dime</w:t>
      </w:r>
      <w:r w:rsidR="00386C15">
        <w:rPr>
          <w:rFonts w:cstheme="minorHAnsi"/>
        </w:rPr>
        <w:t>n</w:t>
      </w:r>
      <w:r>
        <w:rPr>
          <w:rFonts w:cstheme="minorHAnsi"/>
        </w:rPr>
        <w:t xml:space="preserve">são </w:t>
      </w:r>
      <w:r>
        <w:rPr>
          <w:rFonts w:cstheme="minorHAnsi"/>
          <w:b/>
        </w:rPr>
        <w:t>retorno</w:t>
      </w:r>
      <w:r>
        <w:rPr>
          <w:rFonts w:cstheme="minorHAnsi"/>
        </w:rPr>
        <w:t xml:space="preserve">, ela pode ser interpretada como um limite superior para a rentabilidade do projeto de investimento. Essa </w:t>
      </w:r>
      <w:r w:rsidR="00386C15">
        <w:rPr>
          <w:rFonts w:cstheme="minorHAnsi"/>
        </w:rPr>
        <w:t>informação</w:t>
      </w:r>
      <w:r>
        <w:rPr>
          <w:rFonts w:cstheme="minorHAnsi"/>
        </w:rPr>
        <w:t xml:space="preserve"> só é relevante se, para o projeto em análise, não se souber qual o valor da TMA.</w:t>
      </w:r>
    </w:p>
    <w:p w14:paraId="453DC24A" w14:textId="77777777" w:rsidR="00386C15" w:rsidRDefault="00386C15" w:rsidP="00F1748F">
      <w:pPr>
        <w:jc w:val="both"/>
        <w:rPr>
          <w:rFonts w:cstheme="minorHAnsi"/>
        </w:rPr>
      </w:pPr>
      <w:r>
        <w:rPr>
          <w:rFonts w:cstheme="minorHAnsi"/>
        </w:rPr>
        <w:t xml:space="preserve">Pela dimensão </w:t>
      </w:r>
      <w:r w:rsidRPr="00386C15">
        <w:rPr>
          <w:rFonts w:cstheme="minorHAnsi"/>
          <w:b/>
        </w:rPr>
        <w:t>risco</w:t>
      </w:r>
      <w:r>
        <w:rPr>
          <w:rFonts w:cstheme="minorHAnsi"/>
        </w:rPr>
        <w:t xml:space="preserve">, a informação da TIR é mais relevante. Aceitando-se o fato de que a TMA flutua segundo as mudanças nas taxas de juros da economia, então </w:t>
      </w:r>
      <w:r w:rsidR="000E6489">
        <w:rPr>
          <w:rFonts w:cstheme="minorHAnsi"/>
        </w:rPr>
        <w:t>se pode</w:t>
      </w:r>
      <w:r>
        <w:rPr>
          <w:rFonts w:cstheme="minorHAnsi"/>
        </w:rPr>
        <w:t xml:space="preserve"> pensar na TMA como uma variável, cujo limite inferior é a taxa livre de risco que também flutua ao longo do te</w:t>
      </w:r>
      <w:r w:rsidR="000E6489">
        <w:rPr>
          <w:rFonts w:cstheme="minorHAnsi"/>
        </w:rPr>
        <w:t xml:space="preserve">mpo. Ora, sabendo-se que, dada </w:t>
      </w:r>
      <w:r>
        <w:rPr>
          <w:rFonts w:cstheme="minorHAnsi"/>
        </w:rPr>
        <w:t xml:space="preserve">uma TMA, o VPL representa o </w:t>
      </w:r>
      <w:r>
        <w:rPr>
          <w:rFonts w:cstheme="minorHAnsi"/>
        </w:rPr>
        <w:lastRenderedPageBreak/>
        <w:t>ganho</w:t>
      </w:r>
      <w:r w:rsidR="000E6489">
        <w:rPr>
          <w:rFonts w:cstheme="minorHAnsi"/>
        </w:rPr>
        <w:t xml:space="preserve"> </w:t>
      </w:r>
      <w:r>
        <w:rPr>
          <w:rFonts w:cstheme="minorHAnsi"/>
        </w:rPr>
        <w:t xml:space="preserve">associado ao projeto de investimento, e que a TIR é a taxa que zera esse VPL, então ela pode ser interpretada como um limite superior para a variabilidade da TMA. Isso decorre do fato de que o VPL (ganho) ir decrescendo à medida que a TMA se aproxima da TIR. Se </w:t>
      </w:r>
      <w:r w:rsidR="008643A0">
        <w:rPr>
          <w:rFonts w:cstheme="minorHAnsi"/>
        </w:rPr>
        <w:t>a TMA for igual à TIR, então o ganho do projeto será igual a zero. Se a TMA for maior do que a TIR, então a empresa estará em melhor situação não investindo no projeto. O critério de referência para uso da TIR como medida de risco é o seguinte:</w:t>
      </w:r>
    </w:p>
    <w:p w14:paraId="6D5379EE" w14:textId="77777777" w:rsidR="008643A0" w:rsidRDefault="008643A0" w:rsidP="00F1748F">
      <w:pPr>
        <w:jc w:val="both"/>
        <w:rPr>
          <w:rFonts w:cstheme="minorHAnsi"/>
        </w:rPr>
      </w:pPr>
      <w:r>
        <w:rPr>
          <w:rFonts w:cstheme="minorHAnsi"/>
        </w:rPr>
        <w:t xml:space="preserve">TIR próxima à TMA → </w:t>
      </w:r>
      <w:r w:rsidR="001B3479">
        <w:rPr>
          <w:rFonts w:cstheme="minorHAnsi"/>
        </w:rPr>
        <w:t>O risco do p</w:t>
      </w:r>
      <w:r w:rsidR="000E6489">
        <w:rPr>
          <w:rFonts w:cstheme="minorHAnsi"/>
        </w:rPr>
        <w:t>r</w:t>
      </w:r>
      <w:r w:rsidR="001B3479">
        <w:rPr>
          <w:rFonts w:cstheme="minorHAnsi"/>
        </w:rPr>
        <w:t>ojeto aumenta segundo a proximidade dessas taxas</w:t>
      </w:r>
    </w:p>
    <w:p w14:paraId="367992A0" w14:textId="77777777" w:rsidR="001B3479" w:rsidRPr="004D0E04" w:rsidRDefault="001B3479" w:rsidP="00F1748F">
      <w:pPr>
        <w:jc w:val="both"/>
        <w:rPr>
          <w:rFonts w:cstheme="minorHAnsi"/>
        </w:rPr>
      </w:pPr>
      <w:r>
        <w:rPr>
          <w:rFonts w:cstheme="minorHAnsi"/>
        </w:rPr>
        <w:t xml:space="preserve">Para o projeto em análise (utilizado no exemplo), a TIR encontra-se distante da TMA (4 pontos percentuais em uma base de 12%) apontando para um projeto de baixo risco no que tange ao retorno financeiro do investimento. Como esse projeto está apresentando baixa rentabilidade, é normal que também esteja associado a ele um baixo </w:t>
      </w:r>
      <w:r w:rsidR="00D85B3B">
        <w:rPr>
          <w:rFonts w:cstheme="minorHAnsi"/>
        </w:rPr>
        <w:t>r</w:t>
      </w:r>
      <w:r>
        <w:rPr>
          <w:rFonts w:cstheme="minorHAnsi"/>
        </w:rPr>
        <w:t>isco.</w:t>
      </w:r>
    </w:p>
    <w:sectPr w:rsidR="001B3479" w:rsidRPr="004D0E04" w:rsidSect="00EA3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26DB7"/>
    <w:multiLevelType w:val="hybridMultilevel"/>
    <w:tmpl w:val="9DE2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41"/>
    <w:rsid w:val="0000771D"/>
    <w:rsid w:val="00081FF5"/>
    <w:rsid w:val="000A0AC1"/>
    <w:rsid w:val="000D53A3"/>
    <w:rsid w:val="000E6489"/>
    <w:rsid w:val="0011219F"/>
    <w:rsid w:val="001B3479"/>
    <w:rsid w:val="001B56C5"/>
    <w:rsid w:val="002D5143"/>
    <w:rsid w:val="002E164A"/>
    <w:rsid w:val="002E6FA2"/>
    <w:rsid w:val="00300A2D"/>
    <w:rsid w:val="00322DEC"/>
    <w:rsid w:val="00332FA2"/>
    <w:rsid w:val="00384512"/>
    <w:rsid w:val="00386C15"/>
    <w:rsid w:val="004310C2"/>
    <w:rsid w:val="00437375"/>
    <w:rsid w:val="004D0E04"/>
    <w:rsid w:val="004F4923"/>
    <w:rsid w:val="005078EC"/>
    <w:rsid w:val="00513953"/>
    <w:rsid w:val="0051554A"/>
    <w:rsid w:val="0055399F"/>
    <w:rsid w:val="005926D8"/>
    <w:rsid w:val="00666F4C"/>
    <w:rsid w:val="00685308"/>
    <w:rsid w:val="007F602B"/>
    <w:rsid w:val="008643A0"/>
    <w:rsid w:val="008965D0"/>
    <w:rsid w:val="008B47B4"/>
    <w:rsid w:val="008F4BF9"/>
    <w:rsid w:val="00901C02"/>
    <w:rsid w:val="009463CB"/>
    <w:rsid w:val="00992E79"/>
    <w:rsid w:val="009E07CF"/>
    <w:rsid w:val="00A76434"/>
    <w:rsid w:val="00AB142E"/>
    <w:rsid w:val="00AD4411"/>
    <w:rsid w:val="00BF78F4"/>
    <w:rsid w:val="00C37FD9"/>
    <w:rsid w:val="00C91FB9"/>
    <w:rsid w:val="00D26F01"/>
    <w:rsid w:val="00D630F1"/>
    <w:rsid w:val="00D85B3B"/>
    <w:rsid w:val="00E422BF"/>
    <w:rsid w:val="00E70FC6"/>
    <w:rsid w:val="00EA3341"/>
    <w:rsid w:val="00EF05F7"/>
    <w:rsid w:val="00F1748F"/>
    <w:rsid w:val="00F369AD"/>
    <w:rsid w:val="00F832E5"/>
    <w:rsid w:val="00F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1A71"/>
  <w15:docId w15:val="{BC58FC89-6563-49FE-8504-2AB315DA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3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34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85A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21F4-6A33-4747-BD47-0D8EC601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Bilessimo Casa</dc:creator>
  <cp:lastModifiedBy>Simone Meister Sommer Bilessimo</cp:lastModifiedBy>
  <cp:revision>2</cp:revision>
  <dcterms:created xsi:type="dcterms:W3CDTF">2020-11-19T16:33:00Z</dcterms:created>
  <dcterms:modified xsi:type="dcterms:W3CDTF">2020-11-19T16:33:00Z</dcterms:modified>
</cp:coreProperties>
</file>